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560" w:lineRule="exact"/>
        <w:jc w:val="center"/>
        <w:rPr>
          <w:rFonts w:ascii="微软雅黑" w:hAnsi="微软雅黑" w:eastAsia="微软雅黑" w:cs="等线"/>
          <w:b/>
          <w:bCs/>
          <w:kern w:val="2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等线"/>
          <w:b/>
          <w:bCs/>
          <w:kern w:val="2"/>
          <w:sz w:val="44"/>
          <w:szCs w:val="44"/>
          <w:lang w:val="en-US" w:eastAsia="zh-CN"/>
        </w:rPr>
        <w:t>南京邮电大学2024年教职工体检须知</w:t>
      </w:r>
    </w:p>
    <w:p>
      <w:pPr>
        <w:jc w:val="both"/>
        <w:rPr>
          <w:rFonts w:ascii="微软雅黑" w:hAnsi="微软雅黑" w:eastAsia="微软雅黑" w:cs="黑体"/>
          <w:bCs/>
          <w:sz w:val="32"/>
          <w:szCs w:val="32"/>
          <w:lang w:val="en-US" w:eastAsia="zh-CN"/>
        </w:rPr>
      </w:pPr>
      <w:r>
        <w:rPr>
          <w:rFonts w:ascii="微软雅黑" w:hAnsi="微软雅黑" w:eastAsia="微软雅黑"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210185</wp:posOffset>
                </wp:positionV>
                <wp:extent cx="6487795" cy="0"/>
                <wp:effectExtent l="0" t="19050" r="8255" b="0"/>
                <wp:wrapNone/>
                <wp:docPr id="41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779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A6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margin-left:-11.75pt;margin-top:16.55pt;height:0pt;width:510.85pt;z-index:251662336;mso-width-relative:page;mso-height-relative:page;" filled="f" stroked="t" coordsize="21600,21600" o:gfxdata="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4M61f2AAAAAkBAAAP&#10;AAAAAAAAAAEAIAAAACIAAABkcnMvZG93bnJldi54bWxQSwECFAAUAAAACACHTuJAJ3kuTN8BAACc&#10;AwAADgAAAAAAAAABACAAAAAnAQAAZHJzL2Uyb0RvYy54bWxQSwUGAAAAAAYABgBZAQAAeAUAAAAA&#10;">
                <v:fill on="f" focussize="0,0"/>
                <v:stroke weight="2.25pt" color="#EA6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600" w:lineRule="auto"/>
        <w:jc w:val="both"/>
        <w:rPr>
          <w:rFonts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  <w:t>一、</w:t>
      </w:r>
      <w:r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eastAsia="zh-CN"/>
        </w:rPr>
        <w:t>20</w:t>
      </w:r>
      <w:r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  <w:t>24年爱康体检服务及预约流程</w:t>
      </w:r>
    </w:p>
    <w:p>
      <w:pPr>
        <w:numPr>
          <w:ilvl w:val="0"/>
          <w:numId w:val="1"/>
        </w:numPr>
        <w:spacing w:line="600" w:lineRule="auto"/>
        <w:rPr>
          <w:rFonts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体检日期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202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年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月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日至0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月3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日；</w:t>
      </w:r>
    </w:p>
    <w:p>
      <w:pPr>
        <w:spacing w:line="600" w:lineRule="auto"/>
        <w:ind w:left="420"/>
        <w:rPr>
          <w:rFonts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eastAsia="zh-CN"/>
        </w:rPr>
        <w:t>*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法定节假日除外，具体时间详见线上可预约日期）</w:t>
      </w:r>
    </w:p>
    <w:p>
      <w:pPr>
        <w:numPr>
          <w:ilvl w:val="0"/>
          <w:numId w:val="2"/>
        </w:numPr>
        <w:spacing w:line="600" w:lineRule="auto"/>
        <w:rPr>
          <w:rFonts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体检时间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周二至周日上午7:30-10:30（空腹抽血截止时间为10：30）；</w:t>
      </w:r>
    </w:p>
    <w:p>
      <w:pPr>
        <w:numPr>
          <w:ilvl w:val="0"/>
          <w:numId w:val="2"/>
        </w:numPr>
        <w:spacing w:line="600" w:lineRule="auto"/>
        <w:rPr>
          <w:rFonts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胸部CT替代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项目：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因部分老师可能放弃胸部CT检查，爱康体检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特增加3个备选项目，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用于免费替代胸部CT：</w:t>
      </w:r>
      <w:r>
        <w:fldChar w:fldCharType="begin"/>
      </w:r>
      <w:r>
        <w:instrText xml:space="preserve"> HYPERLINK "http://quotation.misnew.ikang.com/package/toSetMealPage?packageid=4748072&amp;status=view" </w:instrText>
      </w:r>
      <w:r>
        <w:fldChar w:fldCharType="separate"/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肝脏专项（甘晓安)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fldChar w:fldCharType="end"/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/</w:t>
      </w:r>
      <w:r>
        <w:rPr>
          <w:rFonts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 xml:space="preserve"> </w:t>
      </w:r>
      <w:r>
        <w:fldChar w:fldCharType="begin"/>
      </w:r>
      <w:r>
        <w:instrText xml:space="preserve"> HYPERLINK "http://quotation.misnew.ikang.com/package/toSetMealPage?packageid=4748070&amp;status=view" </w:instrText>
      </w:r>
      <w:r>
        <w:fldChar w:fldCharType="separate"/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宫颈癌专项（HPV人乳头瘤病毒27项)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fldChar w:fldCharType="end"/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/</w:t>
      </w:r>
      <w:r>
        <w:rPr>
          <w:rFonts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 xml:space="preserve"> </w:t>
      </w:r>
      <w:r>
        <w:fldChar w:fldCharType="begin"/>
      </w:r>
      <w:r>
        <w:instrText xml:space="preserve"> HYPERLINK "http://quotation.misnew.ikang.com/package/toSetMealPage?packageid=4748071&amp;status=view" </w:instrText>
      </w:r>
      <w:r>
        <w:fldChar w:fldCharType="separate"/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心血管专项（心无忧+智能心贴)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fldChar w:fldCharType="end"/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 xml:space="preserve"> （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具体内容见爱康增值服务表格）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；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教职工可在预约时自行选择。</w:t>
      </w:r>
    </w:p>
    <w:p>
      <w:pPr>
        <w:spacing w:line="600" w:lineRule="auto"/>
        <w:ind w:left="420"/>
        <w:rPr>
          <w:rFonts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注：</w:t>
      </w:r>
      <w:r>
        <w:rPr>
          <w:rFonts w:hint="eastAsia" w:ascii="微软雅黑" w:hAnsi="微软雅黑" w:eastAsia="微软雅黑" w:cs="Wingdings"/>
          <w:b/>
          <w:bCs/>
          <w:color w:val="EA6000"/>
          <w:kern w:val="2"/>
          <w:sz w:val="22"/>
          <w:lang w:eastAsia="zh-CN"/>
        </w:rPr>
        <w:t>如半年内做过胸部CT,或有备孕计划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，请勿选择胸部CT，可任选其他项目。</w:t>
      </w:r>
      <w:r>
        <w:rPr>
          <w:rFonts w:ascii="微软雅黑" w:hAnsi="微软雅黑" w:eastAsia="微软雅黑" w:cs="微软雅黑"/>
          <w:b/>
          <w:bCs/>
          <w:sz w:val="22"/>
          <w:szCs w:val="22"/>
          <w:lang w:eastAsia="zh-CN"/>
        </w:rPr>
        <w:br w:type="textWrapping"/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lang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1个不收费，2个及以上按照单位优惠价212元/个收取（可使用本人医保余额付费）</w:t>
      </w:r>
    </w:p>
    <w:p>
      <w:pPr>
        <w:numPr>
          <w:ilvl w:val="0"/>
          <w:numId w:val="2"/>
        </w:numPr>
        <w:spacing w:line="600" w:lineRule="auto"/>
        <w:rPr>
          <w:rFonts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预约方式：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在职职工及职工家属请线上预约，家属预约由职工代为预约，具体如下第（二）节预约方式，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体检预约需提前三个工作日。</w:t>
      </w:r>
    </w:p>
    <w:p>
      <w:pPr>
        <w:pStyle w:val="10"/>
        <w:spacing w:line="600" w:lineRule="auto"/>
        <w:ind w:left="480" w:leftChars="200" w:firstLine="0" w:firstLineChars="0"/>
      </w:pPr>
      <w:r>
        <w:rPr>
          <w:rFonts w:hint="eastAsia"/>
        </w:rPr>
        <w:t>说明：</w:t>
      </w:r>
      <w:r>
        <w:br w:type="textWrapping"/>
      </w:r>
      <w:r>
        <w:rPr>
          <w:rFonts w:hint="eastAsia"/>
        </w:rPr>
        <w:t>1、为节约您当天体检时间，</w:t>
      </w:r>
      <w:r>
        <w:rPr>
          <w:rFonts w:hint="eastAsia"/>
          <w:lang w:val="en-US"/>
        </w:rPr>
        <w:t>如需自费检查</w:t>
      </w:r>
      <w:r>
        <w:rPr>
          <w:rFonts w:hint="eastAsia"/>
        </w:rPr>
        <w:t>套餐外项</w:t>
      </w:r>
      <w:r>
        <w:rPr>
          <w:rFonts w:hint="eastAsia"/>
          <w:lang w:val="en-US"/>
        </w:rPr>
        <w:t>目</w:t>
      </w:r>
      <w:r>
        <w:rPr>
          <w:rFonts w:hint="eastAsia"/>
        </w:rPr>
        <w:t>请您预约时在线勾选，费用在线/到店支付。</w:t>
      </w:r>
    </w:p>
    <w:p>
      <w:pPr>
        <w:pStyle w:val="10"/>
        <w:spacing w:line="600" w:lineRule="auto"/>
        <w:ind w:left="480" w:leftChars="200" w:firstLine="0" w:firstLineChars="0"/>
      </w:pPr>
      <w:r>
        <w:rPr>
          <w:rFonts w:hint="eastAsia"/>
        </w:rPr>
        <w:t>2、体检当天，建议75岁以上/行动不便老师，需由家属陪同体检。</w:t>
      </w:r>
    </w:p>
    <w:p>
      <w:pPr>
        <w:pStyle w:val="10"/>
        <w:spacing w:line="600" w:lineRule="auto"/>
        <w:ind w:left="480" w:leftChars="200" w:firstLine="0" w:firstLineChars="0"/>
        <w:rPr>
          <w:rFonts w:cs="微软雅黑"/>
          <w:sz w:val="24"/>
          <w:u w:val="single"/>
        </w:rPr>
      </w:pPr>
    </w:p>
    <w:p>
      <w:pPr>
        <w:numPr>
          <w:ilvl w:val="0"/>
          <w:numId w:val="3"/>
        </w:numPr>
        <w:shd w:val="clear" w:color="auto" w:fill="FFFFFF"/>
        <w:rPr>
          <w:rFonts w:ascii="微软雅黑" w:hAnsi="微软雅黑" w:eastAsia="微软雅黑" w:cs="Times New Roman"/>
          <w:b/>
          <w:bCs/>
          <w:kern w:val="2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爱康增值服务</w:t>
      </w:r>
    </w:p>
    <w:tbl>
      <w:tblPr>
        <w:tblStyle w:val="7"/>
        <w:tblW w:w="101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551"/>
        <w:gridCol w:w="61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413" w:type="dxa"/>
          </w:tcPr>
          <w:p>
            <w:pPr>
              <w:jc w:val="center"/>
              <w:rPr>
                <w:rFonts w:ascii="微软雅黑" w:hAnsi="微软雅黑" w:eastAsia="微软雅黑" w:cstheme="minorEastAsia"/>
                <w:b/>
                <w:bCs/>
                <w:kern w:val="2"/>
                <w:lang w:val="en-US" w:eastAsia="zh-CN"/>
              </w:rPr>
            </w:pPr>
            <w:r>
              <w:rPr>
                <w:rFonts w:hint="eastAsia" w:ascii="微软雅黑" w:hAnsi="微软雅黑" w:eastAsia="微软雅黑" w:cstheme="minorEastAsia"/>
                <w:b/>
                <w:bCs/>
                <w:kern w:val="2"/>
                <w:lang w:val="en-US" w:eastAsia="zh-CN"/>
              </w:rPr>
              <w:t>增值项目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="微软雅黑" w:hAnsi="微软雅黑" w:eastAsia="微软雅黑" w:cstheme="minorEastAsia"/>
                <w:b/>
                <w:bCs/>
                <w:kern w:val="2"/>
                <w:lang w:val="en-US" w:eastAsia="zh-CN"/>
              </w:rPr>
            </w:pPr>
            <w:r>
              <w:rPr>
                <w:rFonts w:hint="eastAsia" w:ascii="微软雅黑" w:hAnsi="微软雅黑" w:eastAsia="微软雅黑" w:cstheme="minorEastAsia"/>
                <w:b/>
                <w:bCs/>
                <w:kern w:val="2"/>
                <w:lang w:val="en-US" w:eastAsia="zh-CN"/>
              </w:rPr>
              <w:t>项目说明</w:t>
            </w:r>
          </w:p>
        </w:tc>
        <w:tc>
          <w:tcPr>
            <w:tcW w:w="6195" w:type="dxa"/>
          </w:tcPr>
          <w:p>
            <w:pPr>
              <w:jc w:val="center"/>
              <w:rPr>
                <w:rFonts w:ascii="微软雅黑" w:hAnsi="微软雅黑" w:eastAsia="微软雅黑" w:cstheme="minorEastAsia"/>
                <w:b/>
                <w:bCs/>
                <w:kern w:val="2"/>
                <w:lang w:val="en-US" w:eastAsia="zh-CN"/>
              </w:rPr>
            </w:pPr>
            <w:r>
              <w:rPr>
                <w:rFonts w:hint="eastAsia" w:ascii="微软雅黑" w:hAnsi="微软雅黑" w:eastAsia="微软雅黑" w:cstheme="minorEastAsia"/>
                <w:b/>
                <w:bCs/>
                <w:kern w:val="2"/>
                <w:lang w:val="en-US" w:eastAsia="zh-CN"/>
              </w:rPr>
              <w:t>项目介绍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5" w:hRule="atLeast"/>
        </w:trPr>
        <w:tc>
          <w:tcPr>
            <w:tcW w:w="1413" w:type="dxa"/>
            <w:vAlign w:val="center"/>
          </w:tcPr>
          <w:p>
            <w:pPr>
              <w:spacing w:line="400" w:lineRule="exact"/>
              <w:contextualSpacing/>
              <w:jc w:val="center"/>
              <w:rPr>
                <w:rFonts w:ascii="微软雅黑" w:hAnsi="微软雅黑" w:eastAsia="微软雅黑" w:cs="Times New Roman"/>
                <w:b/>
                <w:bCs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kern w:val="2"/>
                <w:sz w:val="22"/>
                <w:szCs w:val="22"/>
                <w:lang w:val="en-US" w:eastAsia="zh-CN"/>
              </w:rPr>
              <w:t>肝脏专项</w:t>
            </w:r>
            <w:r>
              <w:rPr>
                <w:rFonts w:ascii="微软雅黑" w:hAnsi="微软雅黑" w:eastAsia="微软雅黑" w:cs="Times New Roman"/>
                <w:b/>
                <w:bCs/>
                <w:kern w:val="2"/>
                <w:sz w:val="22"/>
                <w:szCs w:val="22"/>
                <w:lang w:val="en-US" w:eastAsia="zh-CN"/>
              </w:rPr>
              <w:br w:type="textWrapping"/>
            </w:r>
          </w:p>
        </w:tc>
        <w:tc>
          <w:tcPr>
            <w:tcW w:w="2551" w:type="dxa"/>
          </w:tcPr>
          <w:p>
            <w:pPr>
              <w:spacing w:line="400" w:lineRule="exact"/>
              <w:contextualSpacing/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甘晓安（</w:t>
            </w:r>
            <w:r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CK18蛋白</w:t>
            </w: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、</w:t>
            </w:r>
            <w:r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pnpla3基因检测</w:t>
            </w: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）</w:t>
            </w:r>
          </w:p>
        </w:tc>
        <w:tc>
          <w:tcPr>
            <w:tcW w:w="6195" w:type="dxa"/>
          </w:tcPr>
          <w:p>
            <w:pPr>
              <w:spacing w:line="400" w:lineRule="exact"/>
              <w:contextualSpacing/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肝炎相关血液指标；减少脂肪肝性肝炎漏检，避免错过治疗窗口。</w:t>
            </w:r>
            <w:r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2.</w:t>
            </w:r>
            <w:r>
              <w:rPr>
                <w:rFonts w:hint="eastAsia"/>
                <w:sz w:val="22"/>
                <w:szCs w:val="22"/>
                <w:lang w:eastAsia="zh-CN"/>
              </w:rPr>
              <w:t xml:space="preserve"> </w:t>
            </w: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检测脂肪肝发生及进展的相关的重要遗传基因，识别更容易进展为肝硬化</w:t>
            </w:r>
            <w:r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/肝癌的人群；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413" w:type="dxa"/>
            <w:vAlign w:val="center"/>
          </w:tcPr>
          <w:p>
            <w:pPr>
              <w:spacing w:line="400" w:lineRule="exact"/>
              <w:contextualSpacing/>
              <w:jc w:val="center"/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kern w:val="2"/>
                <w:sz w:val="22"/>
                <w:szCs w:val="22"/>
                <w:lang w:val="en-US" w:eastAsia="zh-CN"/>
              </w:rPr>
              <w:t>宫颈癌专项</w:t>
            </w:r>
          </w:p>
        </w:tc>
        <w:tc>
          <w:tcPr>
            <w:tcW w:w="2551" w:type="dxa"/>
          </w:tcPr>
          <w:p>
            <w:pPr>
              <w:spacing w:line="400" w:lineRule="exact"/>
              <w:contextualSpacing/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HPV人乳头瘤病毒27项</w:t>
            </w:r>
          </w:p>
        </w:tc>
        <w:tc>
          <w:tcPr>
            <w:tcW w:w="6195" w:type="dxa"/>
          </w:tcPr>
          <w:p>
            <w:pPr>
              <w:spacing w:line="400" w:lineRule="exact"/>
              <w:contextualSpacing/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直接反映人体内乳头瘤病毒是否存在，可具体判断出</w:t>
            </w:r>
            <w:r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27种感染型别，为临床诊断宫颈癌提供参考。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4" w:hRule="atLeast"/>
        </w:trPr>
        <w:tc>
          <w:tcPr>
            <w:tcW w:w="1413" w:type="dxa"/>
            <w:vMerge w:val="restart"/>
            <w:vAlign w:val="center"/>
          </w:tcPr>
          <w:p>
            <w:pPr>
              <w:spacing w:line="400" w:lineRule="exact"/>
              <w:contextualSpacing/>
              <w:rPr>
                <w:rFonts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fldChar w:fldCharType="begin"/>
            </w:r>
            <w:r>
              <w:instrText xml:space="preserve"> HYPERLINK "http://quotation.misnew.ikang.com/package/toSetMealPage?packageid=4748071&amp;status=view" </w:instrText>
            </w:r>
            <w:r>
              <w:fldChar w:fldCharType="separate"/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eastAsia="zh-CN"/>
              </w:rPr>
              <w:t>心血管专项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eastAsia="zh-CN"/>
              </w:rPr>
              <w:fldChar w:fldCharType="end"/>
            </w:r>
            <w:r>
              <w:rPr>
                <w:rFonts w:ascii="微软雅黑" w:hAnsi="微软雅黑" w:eastAsia="微软雅黑" w:cs="微软雅黑"/>
                <w:b/>
                <w:bCs/>
                <w:sz w:val="22"/>
                <w:szCs w:val="22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智能心贴+心无忧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eastAsia="zh-CN"/>
              </w:rPr>
              <w:t>）</w:t>
            </w:r>
          </w:p>
        </w:tc>
        <w:tc>
          <w:tcPr>
            <w:tcW w:w="2551" w:type="dxa"/>
          </w:tcPr>
          <w:p>
            <w:pPr>
              <w:spacing w:line="400" w:lineRule="exact"/>
              <w:contextualSpacing/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智能心贴动态监测（佩戴30分钟）</w:t>
            </w:r>
          </w:p>
        </w:tc>
        <w:tc>
          <w:tcPr>
            <w:tcW w:w="6195" w:type="dxa"/>
          </w:tcPr>
          <w:p>
            <w:pPr>
              <w:spacing w:line="400" w:lineRule="exact"/>
              <w:contextualSpacing/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能够检查出各类心律失常，还可进行定位诊断，尤其是偶发性、隐匿性的及部分容易导致猝死的恶性心律失常，具有无可替代的临床价值，为多种心脏病的诊断提供可靠的依据。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</w:trPr>
        <w:tc>
          <w:tcPr>
            <w:tcW w:w="1413" w:type="dxa"/>
            <w:vMerge w:val="continue"/>
            <w:vAlign w:val="center"/>
          </w:tcPr>
          <w:p>
            <w:pPr>
              <w:spacing w:line="400" w:lineRule="exact"/>
              <w:contextualSpacing/>
              <w:jc w:val="center"/>
              <w:rPr>
                <w:rFonts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2551" w:type="dxa"/>
          </w:tcPr>
          <w:p>
            <w:pPr>
              <w:spacing w:line="400" w:lineRule="exact"/>
              <w:contextualSpacing/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MPO 髓过氧化物酶、Lp-PLA2 脂蛋白相关磷脂酶A2</w:t>
            </w:r>
          </w:p>
        </w:tc>
        <w:tc>
          <w:tcPr>
            <w:tcW w:w="6195" w:type="dxa"/>
          </w:tcPr>
          <w:p>
            <w:pPr>
              <w:spacing w:line="400" w:lineRule="exact"/>
              <w:contextualSpacing/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是系统性炎症的标志物，参与了动脉粥样斑块的发展演变过程，甚至引起动脉粥样斑块的不稳定或破溃，两者联合检测具有危险分层与心血管疾病筛查的重要意义</w:t>
            </w: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6" w:hRule="atLeast"/>
        </w:trPr>
        <w:tc>
          <w:tcPr>
            <w:tcW w:w="1413" w:type="dxa"/>
            <w:vAlign w:val="center"/>
          </w:tcPr>
          <w:p>
            <w:pPr>
              <w:spacing w:line="400" w:lineRule="exact"/>
              <w:contextualSpacing/>
              <w:jc w:val="center"/>
              <w:rPr>
                <w:rFonts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  <w:t>泡脚包</w:t>
            </w:r>
          </w:p>
        </w:tc>
        <w:tc>
          <w:tcPr>
            <w:tcW w:w="2551" w:type="dxa"/>
          </w:tcPr>
          <w:p>
            <w:pPr>
              <w:jc w:val="both"/>
              <w:rPr>
                <w:rFonts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kern w:val="2"/>
                <w:sz w:val="22"/>
                <w:szCs w:val="22"/>
                <w:lang w:val="en-US" w:eastAsia="zh-CN"/>
              </w:rPr>
              <w:t>体检当天前台领取，限南京区教职工本人（每人限领1盒）</w:t>
            </w:r>
          </w:p>
        </w:tc>
        <w:tc>
          <w:tcPr>
            <w:tcW w:w="6195" w:type="dxa"/>
          </w:tcPr>
          <w:p>
            <w:pPr>
              <w:rPr>
                <w:rFonts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1676400" cy="2229485"/>
                  <wp:effectExtent l="0" t="0" r="0" b="0"/>
                  <wp:docPr id="692531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5315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408" cy="226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1729740" cy="2223770"/>
                  <wp:effectExtent l="0" t="0" r="3810" b="5080"/>
                  <wp:docPr id="16359002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90026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120" cy="223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1413" w:type="dxa"/>
            <w:vAlign w:val="center"/>
          </w:tcPr>
          <w:p>
            <w:pPr>
              <w:spacing w:line="400" w:lineRule="exact"/>
              <w:contextualSpacing/>
              <w:jc w:val="center"/>
              <w:rPr>
                <w:rFonts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  <w:t>绿色通道就医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kern w:val="2"/>
                <w:sz w:val="22"/>
                <w:szCs w:val="22"/>
                <w:lang w:val="en-US" w:eastAsia="zh-CN"/>
              </w:rPr>
              <w:t>您体检后，如遇挂号、就医等需求，可通过爱康进行咨询协助，</w:t>
            </w: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 xml:space="preserve"> 13813957428</w:t>
            </w:r>
            <w:r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/>
              </w:rPr>
              <w:t>18105180602</w:t>
            </w:r>
          </w:p>
        </w:tc>
        <w:tc>
          <w:tcPr>
            <w:tcW w:w="6195" w:type="dxa"/>
          </w:tcPr>
          <w:p>
            <w:pPr>
              <w:rPr>
                <w:rFonts w:ascii="微软雅黑" w:hAnsi="微软雅黑" w:eastAsia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drawing>
                <wp:inline distT="0" distB="0" distL="0" distR="0">
                  <wp:extent cx="3611880" cy="1936115"/>
                  <wp:effectExtent l="0" t="0" r="7620" b="6985"/>
                  <wp:docPr id="1503012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0129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08" cy="1944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3"/>
        </w:numPr>
        <w:shd w:val="clear" w:color="auto" w:fill="FFFFFF"/>
        <w:rPr>
          <w:rFonts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370840</wp:posOffset>
            </wp:positionV>
            <wp:extent cx="2430780" cy="2416175"/>
            <wp:effectExtent l="0" t="0" r="7620" b="3175"/>
            <wp:wrapSquare wrapText="bothSides"/>
            <wp:docPr id="1008630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3070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预约方式</w:t>
      </w:r>
    </w:p>
    <w:p>
      <w:pPr>
        <w:shd w:val="clear" w:color="auto" w:fill="FFFFFF"/>
        <w:jc w:val="both"/>
        <w:rPr>
          <w:rFonts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A：专属二维码：手机微信选择“扫一扫”右侧二维码或长按识别二维码，进入预约页面；</w:t>
      </w:r>
    </w:p>
    <w:p>
      <w:pPr>
        <w:rPr>
          <w:rFonts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B：电脑端或者手机端打开以下网页链接，进入专属预约页面：</w:t>
      </w:r>
      <w:r>
        <w:rPr>
          <w:rFonts w:ascii="微软雅黑" w:hAnsi="微软雅黑" w:eastAsia="微软雅黑" w:cs="微软雅黑"/>
          <w:sz w:val="22"/>
          <w:szCs w:val="22"/>
          <w:lang w:eastAsia="zh-CN"/>
        </w:rPr>
        <w:t>njupt.ee.ikang.com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 xml:space="preserve"> </w:t>
      </w:r>
    </w:p>
    <w:p>
      <w:pPr>
        <w:rPr>
          <w:b/>
          <w:bCs/>
          <w:color w:val="2C2C2C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C: 电话预约：</w:t>
      </w:r>
      <w:r>
        <w:rPr>
          <w:rFonts w:hint="eastAsia"/>
          <w:b/>
          <w:bCs/>
          <w:color w:val="2C2C2C"/>
          <w:sz w:val="28"/>
          <w:szCs w:val="28"/>
        </w:rPr>
        <w:t>025-86903177</w:t>
      </w:r>
      <w:r>
        <w:rPr>
          <w:rFonts w:hint="eastAsia"/>
          <w:b/>
          <w:bCs/>
          <w:color w:val="2C2C2C"/>
          <w:sz w:val="28"/>
          <w:szCs w:val="28"/>
          <w:lang w:eastAsia="zh-CN"/>
        </w:rPr>
        <w:t>/</w:t>
      </w:r>
    </w:p>
    <w:p>
      <w:pPr>
        <w:rPr>
          <w:b/>
          <w:bCs/>
          <w:color w:val="2C2C2C"/>
          <w:sz w:val="28"/>
          <w:szCs w:val="28"/>
        </w:rPr>
      </w:pPr>
      <w:r>
        <w:rPr>
          <w:rFonts w:hint="eastAsia"/>
          <w:b/>
          <w:bCs/>
          <w:color w:val="2C2C2C"/>
          <w:sz w:val="28"/>
          <w:szCs w:val="28"/>
        </w:rPr>
        <w:t>13813957428/18105180602</w:t>
      </w:r>
    </w:p>
    <w:p>
      <w:pPr>
        <w:rPr>
          <w:rFonts w:ascii="微软雅黑" w:hAnsi="微软雅黑" w:eastAsia="微软雅黑" w:cs="微软雅黑"/>
          <w:sz w:val="22"/>
          <w:szCs w:val="22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平台具体操作方式如下：</w:t>
      </w:r>
    </w:p>
    <w:p>
      <w:pPr>
        <w:numPr>
          <w:ilvl w:val="0"/>
          <w:numId w:val="4"/>
        </w:numPr>
        <w:spacing w:line="500" w:lineRule="exact"/>
        <w:rPr>
          <w:rFonts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lang w:eastAsia="zh-CN"/>
        </w:rPr>
        <w:t>第一步：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进入预约页面，点击图中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预约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标识，进入信息填写页面，输入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体检者本人身份证号码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及初始密码：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135246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，点击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登录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。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eastAsia="zh-CN"/>
        </w:rPr>
        <w:t>*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如跳出绑定手机页面，可选择【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跳过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】。</w:t>
      </w:r>
    </w:p>
    <w:p>
      <w:pPr>
        <w:spacing w:line="500" w:lineRule="exact"/>
        <w:ind w:left="420"/>
        <w:rPr>
          <w:rFonts w:ascii="微软雅黑" w:hAnsi="微软雅黑" w:eastAsia="微软雅黑" w:cs="微软雅黑"/>
          <w:sz w:val="22"/>
          <w:szCs w:val="22"/>
          <w:lang w:eastAsia="zh-CN"/>
        </w:rPr>
      </w:pPr>
    </w:p>
    <w:p>
      <w:pPr>
        <w:numPr>
          <w:ilvl w:val="0"/>
          <w:numId w:val="4"/>
        </w:numPr>
        <w:spacing w:line="500" w:lineRule="exact"/>
        <w:rPr>
          <w:rFonts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lang w:eastAsia="zh-CN"/>
        </w:rPr>
        <w:t>第二步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：进入确认体检人信息页面，点击</w:t>
      </w:r>
      <w:bookmarkStart w:id="0" w:name="_Hlk97738958"/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【</w:t>
      </w:r>
      <w:bookmarkEnd w:id="0"/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下一步】可见体检套餐，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女性请根据是否做妇科选择女已婚/女未婚套餐，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男性点击默认套</w:t>
      </w:r>
      <w:r>
        <w:rPr>
          <w:rFonts w:ascii="微软雅黑" w:hAnsi="微软雅黑" w:eastAsia="微软雅黑" w:cs="微软雅黑"/>
          <w:sz w:val="22"/>
          <w:szCs w:val="22"/>
          <w:lang w:eastAsia="zh-CN"/>
        </w:rPr>
        <w:t>餐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，点击【下一步】进入预约页面，可就近选择分院，体检时间可看当日预约饱和度，建议选择饱和度较低的时间参加体检。</w:t>
      </w:r>
    </w:p>
    <w:p>
      <w:pPr>
        <w:spacing w:line="500" w:lineRule="exact"/>
        <w:ind w:left="420"/>
        <w:rPr>
          <w:rFonts w:ascii="微软雅黑" w:hAnsi="微软雅黑" w:eastAsia="微软雅黑" w:cs="微软雅黑"/>
          <w:sz w:val="22"/>
          <w:szCs w:val="22"/>
          <w:lang w:eastAsia="zh-CN"/>
        </w:rPr>
      </w:pPr>
    </w:p>
    <w:p>
      <w:pPr>
        <w:numPr>
          <w:ilvl w:val="0"/>
          <w:numId w:val="4"/>
        </w:numPr>
        <w:rPr>
          <w:rFonts w:ascii="微软雅黑" w:hAnsi="微软雅黑" w:eastAsia="微软雅黑" w:cs="微软雅黑"/>
          <w:b/>
          <w:bCs/>
          <w:color w:val="EA600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lang w:eastAsia="zh-CN"/>
        </w:rPr>
        <w:t>第三步</w:t>
      </w: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在选择好体检分院后，点击【下一步】进入加项页面，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其中</w:t>
      </w:r>
      <w:r>
        <w:rPr>
          <w:rFonts w:hint="eastAsia" w:ascii="微软雅黑" w:hAnsi="微软雅黑" w:eastAsia="微软雅黑" w:cs="微软雅黑"/>
          <w:color w:val="E46C0A" w:themeColor="accent6" w:themeShade="BF"/>
          <w:sz w:val="22"/>
          <w:szCs w:val="22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b/>
          <w:bCs/>
          <w:color w:val="E46C0A" w:themeColor="accent6" w:themeShade="BF"/>
          <w:sz w:val="22"/>
          <w:szCs w:val="22"/>
          <w:u w:val="single"/>
          <w:lang w:val="en-US" w:eastAsia="zh-CN"/>
        </w:rPr>
        <w:t>企业定制加项</w:t>
      </w:r>
      <w:r>
        <w:rPr>
          <w:rFonts w:hint="eastAsia" w:ascii="微软雅黑" w:hAnsi="微软雅黑" w:eastAsia="微软雅黑" w:cs="微软雅黑"/>
          <w:color w:val="E46C0A" w:themeColor="accent6" w:themeShade="BF"/>
          <w:sz w:val="22"/>
          <w:szCs w:val="22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可免费选一项，选两项及以上需自费，“推荐通用加项”均为自费项目。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确认后点击【开始预约】，随后出现基本信息页面，如需使用医保卡，请点击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【到店支付】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确认无误后点击【完成预约】，可见预约成功页面。</w:t>
      </w:r>
    </w:p>
    <w:p>
      <w:pPr>
        <w:numPr>
          <w:numId w:val="0"/>
        </w:numPr>
        <w:ind w:leftChars="0"/>
        <w:rPr>
          <w:rFonts w:ascii="微软雅黑" w:hAnsi="微软雅黑" w:eastAsia="微软雅黑" w:cs="微软雅黑"/>
          <w:b/>
          <w:bCs/>
          <w:color w:val="EA6000"/>
          <w:sz w:val="22"/>
          <w:szCs w:val="22"/>
          <w:lang w:eastAsia="zh-CN"/>
        </w:rPr>
      </w:pPr>
      <w:bookmarkStart w:id="1" w:name="_GoBack"/>
      <w:bookmarkEnd w:id="1"/>
    </w:p>
    <w:p>
      <w:pPr>
        <w:numPr>
          <w:ilvl w:val="0"/>
          <w:numId w:val="5"/>
        </w:numPr>
        <w:spacing w:before="624" w:beforeLines="200"/>
        <w:jc w:val="both"/>
        <w:rPr>
          <w:rFonts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  <w:t>爱康体检各分院简介</w:t>
      </w:r>
    </w:p>
    <w:tbl>
      <w:tblPr>
        <w:tblStyle w:val="6"/>
        <w:tblW w:w="9997" w:type="dxa"/>
        <w:tblInd w:w="-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0"/>
        <w:gridCol w:w="1628"/>
        <w:gridCol w:w="1701"/>
        <w:gridCol w:w="1559"/>
        <w:gridCol w:w="1701"/>
        <w:gridCol w:w="14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9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A5A5A5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南京爱康区域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A5A5A5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鼓楼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A5A5A5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江宁</w:t>
            </w:r>
          </w:p>
        </w:tc>
        <w:tc>
          <w:tcPr>
            <w:tcW w:w="155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A5A5A5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浦口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A5A5A5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河西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A5A5A5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val="en-US" w:eastAsia="zh-CN"/>
              </w:rPr>
              <w:t>新街口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9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A5A5A5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lang w:eastAsia="zh-CN"/>
              </w:rPr>
              <w:t>体检服务对象</w:t>
            </w:r>
          </w:p>
        </w:tc>
        <w:tc>
          <w:tcPr>
            <w:tcW w:w="488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在职及退休、离休及高级专家</w:t>
            </w:r>
          </w:p>
        </w:tc>
        <w:tc>
          <w:tcPr>
            <w:tcW w:w="3119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离休及高级专家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A5A5A5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优势说明</w:t>
            </w:r>
          </w:p>
        </w:tc>
        <w:tc>
          <w:tcPr>
            <w:tcW w:w="800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独家三排队系统，减少等待时间，男女分区，更有私密性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A5A5A5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营业面积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4632㎡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4348㎡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2528㎡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4200㎡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val="en-US" w:eastAsia="zh-CN"/>
              </w:rPr>
              <w:t>5200</w:t>
            </w:r>
            <w:r>
              <w:rPr>
                <w:rFonts w:hint="eastAsia" w:ascii="微软雅黑" w:hAnsi="微软雅黑" w:eastAsia="微软雅黑"/>
                <w:color w:val="000000"/>
              </w:rPr>
              <w:t>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A5A5A5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报告解读电话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86640066</w:t>
            </w:r>
          </w:p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转816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85670097</w:t>
            </w:r>
          </w:p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转625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86202166转0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83176826</w:t>
            </w: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转</w:t>
            </w:r>
            <w:r>
              <w:rPr>
                <w:rFonts w:hint="eastAsia" w:ascii="微软雅黑" w:hAnsi="微软雅黑" w:eastAsia="微软雅黑"/>
                <w:color w:val="000000"/>
              </w:rPr>
              <w:t>837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val="en-US" w:eastAsia="zh-CN"/>
              </w:rPr>
              <w:t>57904380转806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A5A5A5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报告解读时间</w:t>
            </w:r>
          </w:p>
        </w:tc>
        <w:tc>
          <w:tcPr>
            <w:tcW w:w="800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周二至周日9:30-15:30（节假日除外）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A5A5A5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优势说明</w:t>
            </w:r>
          </w:p>
        </w:tc>
        <w:tc>
          <w:tcPr>
            <w:tcW w:w="800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高品质服务空间，环境更轻松，舒适度更高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A5A5A5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医保资质</w:t>
            </w:r>
          </w:p>
        </w:tc>
        <w:tc>
          <w:tcPr>
            <w:tcW w:w="800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覆盖医保资质，套餐外加项及家属体检均可使用本人医保</w:t>
            </w:r>
            <w:r>
              <w:rPr>
                <w:rFonts w:hint="eastAsia" w:ascii="微软雅黑" w:hAnsi="微软雅黑" w:eastAsia="微软雅黑"/>
                <w:color w:val="auto"/>
                <w:lang w:val="en-US" w:eastAsia="zh-CN"/>
              </w:rPr>
              <w:t>个人账户余额</w:t>
            </w:r>
          </w:p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（限南京市）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A5A5A5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停车场地</w:t>
            </w:r>
          </w:p>
        </w:tc>
        <w:tc>
          <w:tcPr>
            <w:tcW w:w="800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均有付费停车场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A5A5A5"/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便捷交通</w:t>
            </w:r>
          </w:p>
        </w:tc>
        <w:tc>
          <w:tcPr>
            <w:tcW w:w="800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480" w:lineRule="exact"/>
              <w:contextualSpacing/>
              <w:jc w:val="center"/>
              <w:rPr>
                <w:rFonts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均靠近地铁站，及公交站，详见附件①</w:t>
            </w:r>
          </w:p>
        </w:tc>
      </w:tr>
    </w:tbl>
    <w:p>
      <w:pPr>
        <w:jc w:val="both"/>
        <w:rPr>
          <w:rFonts w:ascii="微软雅黑" w:hAnsi="微软雅黑" w:eastAsia="微软雅黑" w:cs="微软雅黑"/>
          <w:b/>
          <w:bCs/>
          <w:color w:val="EA600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A6000"/>
          <w:sz w:val="28"/>
          <w:szCs w:val="28"/>
          <w:lang w:eastAsia="zh-CN"/>
        </w:rPr>
        <w:t>附件① 可选分院具体地址及乘车路线：</w:t>
      </w:r>
    </w:p>
    <w:p>
      <w:pPr>
        <w:jc w:val="both"/>
        <w:rPr>
          <w:rFonts w:ascii="微软雅黑" w:hAnsi="微软雅黑" w:eastAsia="微软雅黑" w:cs="微软雅黑"/>
          <w:b/>
          <w:bCs/>
          <w:color w:val="EA6000"/>
          <w:sz w:val="28"/>
          <w:szCs w:val="28"/>
          <w:lang w:eastAsia="zh-CN"/>
        </w:rPr>
      </w:pPr>
      <w:r>
        <w:rPr>
          <w:rFonts w:ascii="微软雅黑" w:hAnsi="微软雅黑" w:eastAsia="微软雅黑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45085</wp:posOffset>
                </wp:positionV>
                <wp:extent cx="6153150" cy="0"/>
                <wp:effectExtent l="0" t="19050" r="0" b="0"/>
                <wp:wrapNone/>
                <wp:docPr id="20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A6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o:spt="20" style="position:absolute;left:0pt;margin-left:-1.95pt;margin-top:3.55pt;height:0pt;width:484.5pt;z-index:251660288;mso-width-relative:page;mso-height-relative:page;" filled="f" stroked="t" coordsize="21600,21600" o:gfxdata="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aPdh1NUAAAAGAQAADwAAAAAA&#10;AAABACAAAAAiAAAAZHJzL2Rvd25yZXYueG1sUEsBAhQAFAAAAAgAh07iQOvK3qXdAQAAnAMAAA4A&#10;AAAAAAAAAQAgAAAAJAEAAGRycy9lMm9Eb2MueG1sUEsFBgAAAAAGAAYAWQEAAHMFAAAAAA==&#10;">
                <v:fill on="f" focussize="0,0"/>
                <v:stroke weight="2.25pt" color="#EA6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6"/>
        </w:numPr>
        <w:spacing w:line="360" w:lineRule="exact"/>
        <w:contextualSpacing/>
        <w:rPr>
          <w:rFonts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爱康国宾南京鼓楼分院</w:t>
      </w:r>
    </w:p>
    <w:p>
      <w:pPr>
        <w:spacing w:line="360" w:lineRule="exact"/>
        <w:contextualSpacing/>
        <w:rPr>
          <w:rFonts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地址：南京市鼓楼区中央路19号金峰大厦1层（地铁1/4号线鼓楼站4A出口）</w:t>
      </w:r>
    </w:p>
    <w:p>
      <w:pPr>
        <w:spacing w:line="360" w:lineRule="exact"/>
        <w:contextualSpacing/>
        <w:rPr>
          <w:rFonts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6"/>
        </w:numPr>
        <w:spacing w:line="360" w:lineRule="exact"/>
        <w:contextualSpacing/>
        <w:rPr>
          <w:rFonts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爱康国宾南京江宁分院</w:t>
      </w:r>
    </w:p>
    <w:p>
      <w:pPr>
        <w:spacing w:line="360" w:lineRule="exact"/>
        <w:contextualSpacing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地址：南京市江宁区双龙大道1118号金轮新都汇2层（地铁1号线河定桥1号出口）</w:t>
      </w:r>
    </w:p>
    <w:p>
      <w:pPr>
        <w:spacing w:line="360" w:lineRule="exact"/>
        <w:contextualSpacing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6"/>
        </w:numPr>
        <w:spacing w:line="360" w:lineRule="exact"/>
        <w:contextualSpacing/>
        <w:rPr>
          <w:rFonts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爱康国宾南京浦口分院</w:t>
      </w:r>
    </w:p>
    <w:p>
      <w:pPr>
        <w:spacing w:line="360" w:lineRule="exact"/>
        <w:contextualSpacing/>
        <w:rPr>
          <w:rFonts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地址：南京市浦口大道1号新城总部大厦3层（地铁10号线南京工业大学站3号出口）</w:t>
      </w:r>
    </w:p>
    <w:p>
      <w:pPr>
        <w:spacing w:line="360" w:lineRule="exact"/>
        <w:contextualSpacing/>
        <w:rPr>
          <w:rFonts w:ascii="微软雅黑" w:hAnsi="微软雅黑" w:eastAsia="微软雅黑" w:cs="微软雅黑"/>
          <w:lang w:eastAsia="zh-CN"/>
        </w:rPr>
      </w:pPr>
    </w:p>
    <w:p>
      <w:pPr>
        <w:numPr>
          <w:ilvl w:val="0"/>
          <w:numId w:val="6"/>
        </w:numPr>
        <w:spacing w:line="360" w:lineRule="exact"/>
        <w:contextualSpacing/>
        <w:rPr>
          <w:rFonts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爱康卓悦南京河西分院</w:t>
      </w:r>
      <w:r>
        <w:rPr>
          <w:rFonts w:hint="eastAsia"/>
          <w:b/>
          <w:bCs/>
          <w:color w:val="333333"/>
          <w:sz w:val="27"/>
          <w:szCs w:val="27"/>
          <w:lang w:eastAsia="zh-CN"/>
        </w:rPr>
        <w:t>（仅提供离休干部及高级专家体检服务）</w:t>
      </w:r>
    </w:p>
    <w:p>
      <w:pPr>
        <w:spacing w:line="360" w:lineRule="exact"/>
        <w:contextualSpacing/>
        <w:jc w:val="both"/>
        <w:rPr>
          <w:rFonts w:ascii="微软雅黑" w:hAnsi="微软雅黑" w:eastAsia="微软雅黑" w:cs="微软雅黑"/>
          <w:color w:val="000000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lang w:eastAsia="zh-CN"/>
        </w:rPr>
        <w:t>地址：南京市建邺区庐山路168号新地中心二期2层B区（</w:t>
      </w:r>
      <w:r>
        <w:rPr>
          <w:rFonts w:hint="eastAsia" w:ascii="微软雅黑" w:hAnsi="微软雅黑" w:eastAsia="微软雅黑" w:cs="微软雅黑"/>
          <w:lang w:val="en-US" w:eastAsia="zh-CN"/>
        </w:rPr>
        <w:t>地铁2/10号线元通站5号出口）</w:t>
      </w:r>
    </w:p>
    <w:p>
      <w:pPr>
        <w:spacing w:line="360" w:lineRule="exact"/>
        <w:contextualSpacing/>
        <w:jc w:val="both"/>
        <w:rPr>
          <w:rFonts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>
      <w:pPr>
        <w:numPr>
          <w:ilvl w:val="0"/>
          <w:numId w:val="6"/>
        </w:numPr>
        <w:spacing w:line="360" w:lineRule="exact"/>
        <w:contextualSpacing/>
        <w:rPr>
          <w:rFonts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爱康卓悦新街口国金分院</w:t>
      </w:r>
      <w:r>
        <w:rPr>
          <w:rFonts w:hint="eastAsia"/>
          <w:b/>
          <w:bCs/>
          <w:color w:val="333333"/>
          <w:sz w:val="27"/>
          <w:szCs w:val="27"/>
          <w:lang w:eastAsia="zh-CN"/>
        </w:rPr>
        <w:t>（仅提供离休干部及高级专家体检服务）</w:t>
      </w:r>
    </w:p>
    <w:p>
      <w:pPr>
        <w:spacing w:line="360" w:lineRule="exact"/>
        <w:contextualSpacing/>
        <w:jc w:val="both"/>
        <w:rPr>
          <w:rFonts w:ascii="微软雅黑" w:hAnsi="微软雅黑" w:eastAsia="微软雅黑" w:cs="微软雅黑"/>
          <w:color w:val="000000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lang w:val="en-US" w:eastAsia="zh-CN"/>
        </w:rPr>
        <w:t>地址：南京市秦淮区汉中路1号国际金融中心3层（地铁1/2号线，新街口站5号出口）</w:t>
      </w:r>
    </w:p>
    <w:p>
      <w:pPr>
        <w:numPr>
          <w:ilvl w:val="0"/>
          <w:numId w:val="5"/>
        </w:numPr>
        <w:spacing w:before="624" w:beforeLines="200"/>
        <w:jc w:val="both"/>
        <w:rPr>
          <w:rFonts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  <w:t>体检注意事项</w:t>
      </w:r>
    </w:p>
    <w:p>
      <w:pPr>
        <w:shd w:val="clear" w:color="auto" w:fill="FFFFFF"/>
        <w:spacing w:before="156" w:beforeLines="50"/>
        <w:rPr>
          <w:rFonts w:ascii="微软雅黑" w:hAnsi="微软雅黑" w:eastAsia="微软雅黑" w:cs="等线"/>
          <w:b/>
          <w:bCs/>
          <w:kern w:val="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lang w:val="en-US" w:eastAsia="zh-CN"/>
        </w:rPr>
        <w:t>（一）体检前</w:t>
      </w:r>
    </w:p>
    <w:p>
      <w:pPr>
        <w:widowControl w:val="0"/>
        <w:numPr>
          <w:ilvl w:val="0"/>
          <w:numId w:val="7"/>
        </w:numPr>
        <w:adjustRightInd w:val="0"/>
        <w:snapToGrid w:val="0"/>
        <w:ind w:left="357" w:hanging="357"/>
        <w:jc w:val="both"/>
        <w:rPr>
          <w:rFonts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体检前三天请注意饮食，不吃高脂、高蛋白等食物，不饮酒，前一天晚上八点后尽量勿进食，避免剧烈运动，保持充足睡眠。</w:t>
      </w:r>
    </w:p>
    <w:p>
      <w:pPr>
        <w:widowControl w:val="0"/>
        <w:numPr>
          <w:ilvl w:val="0"/>
          <w:numId w:val="7"/>
        </w:numPr>
        <w:adjustRightInd w:val="0"/>
        <w:snapToGrid w:val="0"/>
        <w:ind w:left="357" w:hanging="357"/>
        <w:jc w:val="both"/>
        <w:rPr>
          <w:rFonts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体检当日早晨禁食、水（常服药者可照常服药，喝少许水）。</w:t>
      </w:r>
    </w:p>
    <w:p>
      <w:pPr>
        <w:widowControl w:val="0"/>
        <w:numPr>
          <w:ilvl w:val="0"/>
          <w:numId w:val="7"/>
        </w:numPr>
        <w:adjustRightInd w:val="0"/>
        <w:snapToGrid w:val="0"/>
        <w:ind w:left="357" w:hanging="357"/>
        <w:jc w:val="both"/>
        <w:rPr>
          <w:rFonts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体检当日携带本人有效身份证。如曾经住院或有手术史，请携带病历和相关资料，供体检医师参考。</w:t>
      </w:r>
    </w:p>
    <w:p>
      <w:pPr>
        <w:widowControl w:val="0"/>
        <w:numPr>
          <w:ilvl w:val="0"/>
          <w:numId w:val="7"/>
        </w:numPr>
        <w:adjustRightInd w:val="0"/>
        <w:snapToGrid w:val="0"/>
        <w:ind w:left="357" w:hanging="357"/>
        <w:jc w:val="both"/>
        <w:rPr>
          <w:rFonts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女性在月经期内请不要留取尿液标本及妇检，月经期后三天再作检查。</w:t>
      </w:r>
    </w:p>
    <w:p>
      <w:pPr>
        <w:widowControl w:val="0"/>
        <w:numPr>
          <w:ilvl w:val="0"/>
          <w:numId w:val="7"/>
        </w:numPr>
        <w:adjustRightInd w:val="0"/>
        <w:snapToGrid w:val="0"/>
        <w:ind w:left="357" w:hanging="357"/>
        <w:jc w:val="both"/>
        <w:rPr>
          <w:rFonts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女性近期内计划怀孕及妊娠期间体检不能做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CT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检查。</w:t>
      </w:r>
    </w:p>
    <w:p>
      <w:pPr>
        <w:widowControl w:val="0"/>
        <w:numPr>
          <w:ilvl w:val="0"/>
          <w:numId w:val="7"/>
        </w:numPr>
        <w:adjustRightInd w:val="0"/>
        <w:snapToGrid w:val="0"/>
        <w:ind w:left="357" w:hanging="357"/>
        <w:jc w:val="both"/>
        <w:rPr>
          <w:rFonts w:ascii="微软雅黑" w:hAnsi="微软雅黑" w:eastAsia="微软雅黑" w:cs="等线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体检当日请勿穿着连体内衣物及长筒靴；请勿穿着带有金属亮片的衣服，为方便眼科检查，请勿佩戴隐形眼镜。</w:t>
      </w:r>
    </w:p>
    <w:p>
      <w:pPr>
        <w:shd w:val="clear" w:color="auto" w:fill="FFFFFF"/>
        <w:spacing w:before="156" w:beforeLines="50"/>
        <w:rPr>
          <w:rFonts w:ascii="微软雅黑" w:hAnsi="微软雅黑" w:eastAsia="微软雅黑" w:cs="微软雅黑"/>
          <w:b/>
          <w:bCs/>
          <w:kern w:val="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128905</wp:posOffset>
            </wp:positionV>
            <wp:extent cx="1619885" cy="2240915"/>
            <wp:effectExtent l="0" t="0" r="0" b="6985"/>
            <wp:wrapThrough wrapText="bothSides">
              <wp:wrapPolygon>
                <wp:start x="0" y="0"/>
                <wp:lineTo x="0" y="21484"/>
                <wp:lineTo x="21338" y="21484"/>
                <wp:lineTo x="21338" y="0"/>
                <wp:lineTo x="0" y="0"/>
              </wp:wrapPolygon>
            </wp:wrapThrough>
            <wp:docPr id="1068" name="图片 1" descr="徽标&#10;&#10;低可信度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图片 1" descr="徽标&#10;&#10;低可信度描述已自动生成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240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kern w:val="2"/>
          <w:lang w:val="en-US" w:eastAsia="zh-CN"/>
        </w:rPr>
        <w:t>（二）体检中</w:t>
      </w:r>
    </w:p>
    <w:p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可扫描右侧二维码，进入爱康智能导检系统，实时查询项目、进度、科室等。</w:t>
      </w:r>
    </w:p>
    <w:p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在体检过程中配合导检人员的引导，如遇任何问题请咨询现场导检人员。</w:t>
      </w:r>
    </w:p>
    <w:p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体检中积极配合医生检查，请勿隐瞒病史，防止误诊。</w:t>
      </w:r>
    </w:p>
    <w:p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抽血后立即压迫针孔三分钟，防止出血，勿揉局部。</w:t>
      </w:r>
    </w:p>
    <w:p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ascii="微软雅黑" w:hAnsi="微软雅黑" w:eastAsia="微软雅黑" w:cs="等线"/>
          <w:color w:val="00000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lang w:eastAsia="zh-CN"/>
        </w:rPr>
        <w:t>妇科彩超检查：选择女未婚套餐的女士保持膀胱充盈（憋尿）；</w:t>
      </w:r>
      <w:r>
        <w:rPr>
          <w:rFonts w:hint="eastAsia" w:ascii="微软雅黑" w:hAnsi="微软雅黑" w:eastAsia="微软雅黑" w:cs="等线"/>
          <w:color w:val="000000"/>
          <w:sz w:val="22"/>
          <w:szCs w:val="22"/>
          <w:lang w:eastAsia="zh-CN"/>
        </w:rPr>
        <w:t>选择女已婚套餐的女士需检前排空小便。</w:t>
      </w:r>
    </w:p>
    <w:p>
      <w:pPr>
        <w:shd w:val="clear" w:color="auto" w:fill="FFFFFF"/>
        <w:spacing w:before="156" w:beforeLines="50"/>
        <w:rPr>
          <w:rFonts w:ascii="微软雅黑" w:hAnsi="微软雅黑" w:eastAsia="微软雅黑" w:cs="微软雅黑"/>
          <w:b/>
          <w:bCs/>
          <w:kern w:val="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lang w:val="en-US" w:eastAsia="zh-CN"/>
        </w:rPr>
        <w:t>（三）体检后</w:t>
      </w:r>
    </w:p>
    <w:p>
      <w:pPr>
        <w:widowControl w:val="0"/>
        <w:numPr>
          <w:ilvl w:val="0"/>
          <w:numId w:val="9"/>
        </w:numPr>
        <w:adjustRightInd w:val="0"/>
        <w:snapToGrid w:val="0"/>
        <w:jc w:val="both"/>
        <w:rPr>
          <w:rFonts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请保存好体检结果，便于来年体检结果进行对比，也可作为就医时参考资料。</w:t>
      </w:r>
    </w:p>
    <w:p>
      <w:pPr>
        <w:widowControl w:val="0"/>
        <w:numPr>
          <w:ilvl w:val="0"/>
          <w:numId w:val="9"/>
        </w:numPr>
        <w:adjustRightInd w:val="0"/>
        <w:snapToGrid w:val="0"/>
        <w:jc w:val="both"/>
        <w:rPr>
          <w:rFonts w:ascii="微软雅黑" w:hAnsi="微软雅黑" w:eastAsia="微软雅黑" w:cs="微软雅黑"/>
          <w:color w:val="00000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如体检结果反映出您的健康状况存在问题，请根据体检医师及爱康国宾的健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eastAsia="zh-CN"/>
        </w:rPr>
        <w:t>康指导建议及时就医，并合理地安排好您的生活作息和习惯。</w:t>
      </w:r>
    </w:p>
    <w:p>
      <w:pPr>
        <w:widowControl w:val="0"/>
        <w:numPr>
          <w:ilvl w:val="0"/>
          <w:numId w:val="9"/>
        </w:numPr>
        <w:adjustRightInd w:val="0"/>
        <w:snapToGrid w:val="0"/>
        <w:jc w:val="both"/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体检报告：在职教职工（含家属）体检报告不提供纸质版，如果需要纸质版体检报告，请在体检结束交表时提醒工作人员，前台自取；离退休教职工纸质版体检报告可联系校离退休处领取，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领取时间另行通知（联系电话025-83492911）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；</w:t>
      </w:r>
    </w:p>
    <w:p>
      <w:pPr>
        <w:widowControl w:val="0"/>
        <w:tabs>
          <w:tab w:val="left" w:pos="360"/>
        </w:tabs>
        <w:adjustRightInd w:val="0"/>
        <w:snapToGrid w:val="0"/>
        <w:ind w:left="360"/>
        <w:jc w:val="both"/>
        <w:rPr>
          <w:rFonts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电子报告：手机关注爱康微信公众号、支付宝搜索爱康、爱康APP或者爱康官网查询。</w:t>
      </w:r>
    </w:p>
    <w:p>
      <w:pPr>
        <w:widowControl w:val="0"/>
        <w:numPr>
          <w:ilvl w:val="0"/>
          <w:numId w:val="9"/>
        </w:numPr>
        <w:adjustRightInd w:val="0"/>
        <w:snapToGrid w:val="0"/>
        <w:jc w:val="both"/>
        <w:rPr>
          <w:rFonts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检后全国报告解读咨询电话4000818899，也可咨询对应体检分院客服电话（号码详见以上第（二）节表格）。</w:t>
      </w:r>
    </w:p>
    <w:p>
      <w:pPr>
        <w:widowControl w:val="0"/>
        <w:numPr>
          <w:ilvl w:val="0"/>
          <w:numId w:val="9"/>
        </w:numPr>
        <w:adjustRightInd w:val="0"/>
        <w:snapToGrid w:val="0"/>
        <w:jc w:val="both"/>
        <w:rPr>
          <w:rFonts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体检结束后会立即收到爱康满意度调查问卷推送短信，您有任何疑问或不满，可及时反馈，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如有其他疑问也可联系项目对接人：李艳娟 13813957428或 滕传利</w:t>
      </w:r>
      <w:r>
        <w:rPr>
          <w:rFonts w:hint="eastAsia" w:ascii="微软雅黑" w:hAnsi="微软雅黑" w:eastAsia="微软雅黑"/>
          <w:color w:val="2C2C2C"/>
          <w:sz w:val="22"/>
          <w:szCs w:val="22"/>
          <w:lang w:eastAsia="zh-CN"/>
        </w:rPr>
        <w:t>18105180602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。</w:t>
      </w:r>
    </w:p>
    <w:p>
      <w:pPr>
        <w:numPr>
          <w:ilvl w:val="0"/>
          <w:numId w:val="5"/>
        </w:numPr>
        <w:spacing w:before="624" w:beforeLines="200"/>
        <w:jc w:val="both"/>
        <w:rPr>
          <w:rFonts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  <w:t>体检套餐</w:t>
      </w:r>
    </w:p>
    <w:tbl>
      <w:tblPr>
        <w:tblStyle w:val="6"/>
        <w:tblW w:w="101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20"/>
        <w:gridCol w:w="8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基本检查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身高、体重、血压、脉搏、体重指数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内科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心、肺听诊、腹部触诊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外科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浅表淋巴结、甲状腺、乳房、脊柱、四肢、外生殖器、前列腺、肛肠指检、皮肤等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眼科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外眼、视力、眼底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耳、鼻、喉科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外耳道、鼓膜、鼻腔、鼻中隔、扁桃体、咽部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妇科(已婚女)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妇科检查、白带常规、宫颈液基细胞学检查（TCT）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血常规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18项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肝功能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肝功六项（ALT、AST、GGT、T-BIL、D-BIL、I-BIL）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肿瘤标记筛选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 w:bidi="ar"/>
              </w:rPr>
              <w:t>CEA、AFP、CA199、CA125（女）、PSA（男）、NSE、CYFRA21-1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肾脏机能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 w:bidi="ar"/>
              </w:rPr>
              <w:t>血尿素氮、血清尿酸、血清肌酐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血脂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 w:bidi="ar"/>
              </w:rPr>
              <w:t>胆固醇、甘油三脂、高密度脂蛋白胆固醇、低密度脂蛋白胆固醇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血糖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 w:bidi="ar"/>
              </w:rPr>
              <w:t>GLU、</w:t>
            </w:r>
            <w:r>
              <w:rPr>
                <w:rFonts w:hint="eastAsia" w:ascii="微软雅黑" w:hAnsi="微软雅黑" w:eastAsia="微软雅黑" w:cs="思源黑体 CN Heavy"/>
                <w:b/>
                <w:color w:val="EA6000"/>
                <w:sz w:val="20"/>
                <w:szCs w:val="20"/>
                <w:lang w:val="en-US" w:eastAsia="zh-CN"/>
              </w:rPr>
              <w:t>糖化血红蛋白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142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尿常规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 w:bidi="ar"/>
              </w:rPr>
              <w:t>10项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1420" w:type="dxa"/>
            <w:shd w:val="clear" w:color="auto" w:fill="FFFFFF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心电图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 w:bidi="ar"/>
              </w:rPr>
              <w:t>12导心电图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1420" w:type="dxa"/>
            <w:shd w:val="clear" w:color="auto" w:fill="FFFFFF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胸部摄片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 w:bidi="ar"/>
              </w:rPr>
              <w:t>胸部CT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1420" w:type="dxa"/>
            <w:shd w:val="clear" w:color="auto" w:fill="FFFFFF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 w:bidi="ar"/>
              </w:rPr>
              <w:t>彩色B超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400" w:line="560" w:lineRule="exact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 w:bidi="ar"/>
              </w:rPr>
              <w:t xml:space="preserve">1.肝、胆、脾、肾、胰脏、妇科（女）、乳腺（女）、前列腺（男）、甲状腺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1420" w:type="dxa"/>
            <w:shd w:val="clear" w:color="auto" w:fill="FFFFFF"/>
            <w:noWrap/>
            <w:tcMar>
              <w:left w:w="108" w:type="dxa"/>
              <w:right w:w="108" w:type="dxa"/>
            </w:tcMar>
            <w:vAlign w:val="center"/>
          </w:tcPr>
          <w:p>
            <w:pPr>
              <w:spacing w:before="624" w:beforeLines="200" w:line="560" w:lineRule="exact"/>
              <w:contextualSpacing/>
              <w:jc w:val="center"/>
              <w:rPr>
                <w:rFonts w:ascii="微软雅黑" w:hAnsi="微软雅黑" w:eastAsia="微软雅黑" w:cs="思源黑体 CN Heavy"/>
                <w:b/>
                <w:color w:val="EA6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思源黑体 CN Heavy"/>
                <w:b/>
                <w:color w:val="EA6000"/>
                <w:sz w:val="20"/>
                <w:szCs w:val="20"/>
                <w:lang w:val="en-US" w:eastAsia="zh-CN"/>
              </w:rPr>
              <w:t>甲状腺功能</w:t>
            </w:r>
          </w:p>
        </w:tc>
        <w:tc>
          <w:tcPr>
            <w:tcW w:w="8745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624" w:beforeLines="200" w:line="560" w:lineRule="exact"/>
              <w:contextualSpacing/>
              <w:jc w:val="center"/>
              <w:rPr>
                <w:rFonts w:ascii="微软雅黑" w:hAnsi="微软雅黑" w:eastAsia="微软雅黑" w:cs="思源黑体 CN Heavy"/>
                <w:b/>
                <w:color w:val="EA6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思源黑体 CN Heavy"/>
                <w:b/>
                <w:color w:val="EA6000"/>
                <w:sz w:val="20"/>
                <w:szCs w:val="20"/>
                <w:lang w:val="en-US" w:eastAsia="zh-CN"/>
              </w:rPr>
              <w:t>T3、T4、TSH</w:t>
            </w:r>
          </w:p>
        </w:tc>
      </w:tr>
    </w:tbl>
    <w:p>
      <w:pPr>
        <w:spacing w:line="300" w:lineRule="auto"/>
        <w:ind w:right="143"/>
        <w:jc w:val="center"/>
        <w:rPr>
          <w:rFonts w:ascii="微软雅黑" w:hAnsi="微软雅黑" w:eastAsia="微软雅黑" w:cs="Times New Roman"/>
          <w:sz w:val="30"/>
          <w:szCs w:val="30"/>
          <w:lang w:eastAsia="zh-CN"/>
        </w:rPr>
      </w:pPr>
      <w:r>
        <w:rPr>
          <w:rFonts w:hint="eastAsia" w:ascii="微软雅黑" w:hAnsi="微软雅黑" w:eastAsia="微软雅黑" w:cs="思源黑体 CN Heavy"/>
          <w:b/>
          <w:color w:val="EA6000"/>
          <w:lang w:val="en-US" w:eastAsia="zh-CN"/>
        </w:rPr>
        <w:t>注：表中标橙的项目为爱康此次体检独有的项目</w:t>
      </w:r>
    </w:p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00F39CB-A6BA-477F-9042-58FDBA8A260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BB893F76-2B99-4B09-9B9E-6BB06FBA69E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807CFFC2-7559-438E-826B-F72790DE669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B6660083-35ED-430D-8923-63F674467623}"/>
  </w:font>
  <w:font w:name="幼圆">
    <w:altName w:val="宋体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思源黑体 CN Heavy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  <w:embedRegular r:id="rId5" w:fontKey="{95F32C36-A176-4CD8-9558-1C2F608E1E19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DEACA504-0C39-4045-8025-87C067295D39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left"/>
      <w:rPr>
        <w:rFonts w:ascii="华文楷体" w:hAnsi="华文楷体" w:eastAsia="华文楷体" w:cs="华文楷体"/>
        <w:b/>
        <w:bCs/>
        <w:color w:val="E46C0A" w:themeColor="accent6" w:themeShade="BF"/>
        <w:sz w:val="32"/>
        <w:szCs w:val="32"/>
        <w:lang w:val="en-US" w:eastAsia="zh-CN"/>
      </w:rPr>
    </w:pPr>
    <w:r>
      <w:rPr>
        <w:rFonts w:hint="eastAsia" w:ascii="华文楷体" w:hAnsi="华文楷体" w:eastAsia="华文楷体" w:cs="华文楷体"/>
        <w:b/>
        <w:bCs/>
        <w:color w:val="E46C0A" w:themeColor="accent6" w:themeShade="BF"/>
        <w:sz w:val="32"/>
        <w:szCs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2971800</wp:posOffset>
          </wp:positionH>
          <wp:positionV relativeFrom="paragraph">
            <wp:posOffset>8255</wp:posOffset>
          </wp:positionV>
          <wp:extent cx="2171700" cy="505460"/>
          <wp:effectExtent l="0" t="0" r="0" b="8890"/>
          <wp:wrapNone/>
          <wp:docPr id="1655140587" name="图片 18" descr="集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5140587" name="图片 18" descr="集团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1384" cy="5077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华文楷体" w:hAnsi="华文楷体" w:eastAsia="华文楷体" w:cs="华文楷体"/>
        <w:b/>
        <w:bCs/>
        <w:color w:val="E46C0A" w:themeColor="accent6" w:themeShade="BF"/>
        <w:sz w:val="32"/>
        <w:szCs w:val="32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1676400</wp:posOffset>
          </wp:positionH>
          <wp:positionV relativeFrom="paragraph">
            <wp:posOffset>-144145</wp:posOffset>
          </wp:positionV>
          <wp:extent cx="830580" cy="825500"/>
          <wp:effectExtent l="0" t="0" r="7620" b="0"/>
          <wp:wrapTopAndBottom/>
          <wp:docPr id="84661007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6610075" name="图片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058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E29740"/>
    <w:multiLevelType w:val="singleLevel"/>
    <w:tmpl w:val="A4E2974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045FC8F"/>
    <w:multiLevelType w:val="singleLevel"/>
    <w:tmpl w:val="C045FC8F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color w:val="E46C0A" w:themeColor="accent6" w:themeShade="BF"/>
      </w:rPr>
    </w:lvl>
  </w:abstractNum>
  <w:abstractNum w:abstractNumId="2">
    <w:nsid w:val="00000001"/>
    <w:multiLevelType w:val="multilevel"/>
    <w:tmpl w:val="00000001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00000002"/>
    <w:multiLevelType w:val="multilevel"/>
    <w:tmpl w:val="00000002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 w:hAnsi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 w:cs="宋体"/>
        <w:color w:val="000000"/>
      </w:rPr>
    </w:lvl>
    <w:lvl w:ilvl="1" w:tentative="0">
      <w:start w:val="1"/>
      <w:numFmt w:val="bullet"/>
      <w:lvlText w:val=""/>
      <w:lvlJc w:val="left"/>
      <w:pPr>
        <w:tabs>
          <w:tab w:val="left" w:pos="600"/>
        </w:tabs>
        <w:ind w:left="600" w:hanging="420"/>
      </w:pPr>
      <w:rPr>
        <w:rFonts w:hint="default" w:ascii="Wingdings" w:hAnsi="Wingdings"/>
        <w:color w:val="000000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233DA6D2"/>
    <w:multiLevelType w:val="singleLevel"/>
    <w:tmpl w:val="233DA6D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2DF88076"/>
    <w:multiLevelType w:val="singleLevel"/>
    <w:tmpl w:val="2DF8807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529C90BE"/>
    <w:multiLevelType w:val="singleLevel"/>
    <w:tmpl w:val="529C90BE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abstractNum w:abstractNumId="8">
    <w:nsid w:val="5322A95F"/>
    <w:multiLevelType w:val="singleLevel"/>
    <w:tmpl w:val="5322A95F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color w:val="E46C0A" w:themeColor="accent6" w:themeShade="BF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2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JiZjQ5Zjc2NDZlMjk1OWIzMTBmYjdmZTk2NDI0YTAifQ=="/>
    <w:docVar w:name="KSO_WPS_MARK_KEY" w:val="29330fcf-a6ac-4674-b56a-a1064aaaa201"/>
  </w:docVars>
  <w:rsids>
    <w:rsidRoot w:val="00F42853"/>
    <w:rsid w:val="00045547"/>
    <w:rsid w:val="000519AD"/>
    <w:rsid w:val="000A5F31"/>
    <w:rsid w:val="000C0924"/>
    <w:rsid w:val="000C6170"/>
    <w:rsid w:val="000C65E9"/>
    <w:rsid w:val="000E71CD"/>
    <w:rsid w:val="001061B7"/>
    <w:rsid w:val="0012422B"/>
    <w:rsid w:val="001922F1"/>
    <w:rsid w:val="001B4AA7"/>
    <w:rsid w:val="001B57DA"/>
    <w:rsid w:val="001D638D"/>
    <w:rsid w:val="001E36EE"/>
    <w:rsid w:val="00224DD8"/>
    <w:rsid w:val="00236973"/>
    <w:rsid w:val="0024475D"/>
    <w:rsid w:val="002927C6"/>
    <w:rsid w:val="002E4842"/>
    <w:rsid w:val="0030370E"/>
    <w:rsid w:val="00317BD0"/>
    <w:rsid w:val="0032042B"/>
    <w:rsid w:val="003430B6"/>
    <w:rsid w:val="00347A88"/>
    <w:rsid w:val="003518C6"/>
    <w:rsid w:val="00377821"/>
    <w:rsid w:val="003D2759"/>
    <w:rsid w:val="003F7BCF"/>
    <w:rsid w:val="00403922"/>
    <w:rsid w:val="00423A6D"/>
    <w:rsid w:val="004265D5"/>
    <w:rsid w:val="0044021B"/>
    <w:rsid w:val="0045478D"/>
    <w:rsid w:val="00460CF3"/>
    <w:rsid w:val="00483899"/>
    <w:rsid w:val="004953A0"/>
    <w:rsid w:val="004D6537"/>
    <w:rsid w:val="004E2C20"/>
    <w:rsid w:val="004F0B0A"/>
    <w:rsid w:val="00512EE7"/>
    <w:rsid w:val="005210C6"/>
    <w:rsid w:val="005415D7"/>
    <w:rsid w:val="00547EDE"/>
    <w:rsid w:val="00570BCD"/>
    <w:rsid w:val="00576279"/>
    <w:rsid w:val="00593922"/>
    <w:rsid w:val="005A1844"/>
    <w:rsid w:val="005B45C2"/>
    <w:rsid w:val="005E1D3E"/>
    <w:rsid w:val="005F453A"/>
    <w:rsid w:val="00602450"/>
    <w:rsid w:val="00644A08"/>
    <w:rsid w:val="00671548"/>
    <w:rsid w:val="00683E61"/>
    <w:rsid w:val="00696F9A"/>
    <w:rsid w:val="007327F1"/>
    <w:rsid w:val="007439F4"/>
    <w:rsid w:val="007858D6"/>
    <w:rsid w:val="007B1735"/>
    <w:rsid w:val="007B23A8"/>
    <w:rsid w:val="007C6039"/>
    <w:rsid w:val="007F0DDF"/>
    <w:rsid w:val="00821697"/>
    <w:rsid w:val="00836820"/>
    <w:rsid w:val="00877CA2"/>
    <w:rsid w:val="008B55B1"/>
    <w:rsid w:val="008E5957"/>
    <w:rsid w:val="009052DE"/>
    <w:rsid w:val="00932385"/>
    <w:rsid w:val="0094320E"/>
    <w:rsid w:val="00946685"/>
    <w:rsid w:val="00980CC9"/>
    <w:rsid w:val="00997730"/>
    <w:rsid w:val="00A04DFE"/>
    <w:rsid w:val="00AA7E65"/>
    <w:rsid w:val="00AC2955"/>
    <w:rsid w:val="00AC3741"/>
    <w:rsid w:val="00AD2FB6"/>
    <w:rsid w:val="00AE2D4E"/>
    <w:rsid w:val="00B14BC0"/>
    <w:rsid w:val="00B243BB"/>
    <w:rsid w:val="00B41878"/>
    <w:rsid w:val="00B52ECB"/>
    <w:rsid w:val="00B538E3"/>
    <w:rsid w:val="00B5756E"/>
    <w:rsid w:val="00B86FC8"/>
    <w:rsid w:val="00B934BC"/>
    <w:rsid w:val="00BC6962"/>
    <w:rsid w:val="00BE755A"/>
    <w:rsid w:val="00C814C5"/>
    <w:rsid w:val="00CD4D31"/>
    <w:rsid w:val="00D02A11"/>
    <w:rsid w:val="00D22C0D"/>
    <w:rsid w:val="00D30328"/>
    <w:rsid w:val="00D34E16"/>
    <w:rsid w:val="00D770BC"/>
    <w:rsid w:val="00D85849"/>
    <w:rsid w:val="00DA4AF4"/>
    <w:rsid w:val="00DB263E"/>
    <w:rsid w:val="00DD027D"/>
    <w:rsid w:val="00DD5300"/>
    <w:rsid w:val="00DE37C6"/>
    <w:rsid w:val="00DF7033"/>
    <w:rsid w:val="00E05538"/>
    <w:rsid w:val="00E54298"/>
    <w:rsid w:val="00E6201F"/>
    <w:rsid w:val="00E73255"/>
    <w:rsid w:val="00ED31B3"/>
    <w:rsid w:val="00EF493C"/>
    <w:rsid w:val="00F00F5E"/>
    <w:rsid w:val="00F04D0C"/>
    <w:rsid w:val="00F4094E"/>
    <w:rsid w:val="00F42853"/>
    <w:rsid w:val="00F63A89"/>
    <w:rsid w:val="00FE5FD5"/>
    <w:rsid w:val="01DB6007"/>
    <w:rsid w:val="02873BB9"/>
    <w:rsid w:val="02C62933"/>
    <w:rsid w:val="02DF57A3"/>
    <w:rsid w:val="036363D4"/>
    <w:rsid w:val="040B4F06"/>
    <w:rsid w:val="049820AD"/>
    <w:rsid w:val="04D340DE"/>
    <w:rsid w:val="06640499"/>
    <w:rsid w:val="069D1BFD"/>
    <w:rsid w:val="074B3818"/>
    <w:rsid w:val="07950B26"/>
    <w:rsid w:val="08E91129"/>
    <w:rsid w:val="09831C78"/>
    <w:rsid w:val="0B3A5C6C"/>
    <w:rsid w:val="0C3618C3"/>
    <w:rsid w:val="0C923886"/>
    <w:rsid w:val="0CB87258"/>
    <w:rsid w:val="0CF12DCE"/>
    <w:rsid w:val="0D781D9C"/>
    <w:rsid w:val="0DA72138"/>
    <w:rsid w:val="0F000F7B"/>
    <w:rsid w:val="10AA179B"/>
    <w:rsid w:val="115B1273"/>
    <w:rsid w:val="120945EA"/>
    <w:rsid w:val="12331667"/>
    <w:rsid w:val="138008DC"/>
    <w:rsid w:val="13EC7D20"/>
    <w:rsid w:val="14327E28"/>
    <w:rsid w:val="14942891"/>
    <w:rsid w:val="149A59CD"/>
    <w:rsid w:val="14A4045C"/>
    <w:rsid w:val="15EC15D1"/>
    <w:rsid w:val="16756754"/>
    <w:rsid w:val="17B82678"/>
    <w:rsid w:val="186B3909"/>
    <w:rsid w:val="19AE6F11"/>
    <w:rsid w:val="1A226249"/>
    <w:rsid w:val="1BAF0CD9"/>
    <w:rsid w:val="1BE063BC"/>
    <w:rsid w:val="1CF0262F"/>
    <w:rsid w:val="1D1632F3"/>
    <w:rsid w:val="1D857FC1"/>
    <w:rsid w:val="1DBA2C3C"/>
    <w:rsid w:val="1E822270"/>
    <w:rsid w:val="1FF8773E"/>
    <w:rsid w:val="202B1BD0"/>
    <w:rsid w:val="20631369"/>
    <w:rsid w:val="20B971DB"/>
    <w:rsid w:val="22CF12B1"/>
    <w:rsid w:val="23DB1C0A"/>
    <w:rsid w:val="24CD2D93"/>
    <w:rsid w:val="25054131"/>
    <w:rsid w:val="254479BB"/>
    <w:rsid w:val="25DC5D6A"/>
    <w:rsid w:val="265A42A9"/>
    <w:rsid w:val="271D04C4"/>
    <w:rsid w:val="27CB63C1"/>
    <w:rsid w:val="27E96E49"/>
    <w:rsid w:val="2827288F"/>
    <w:rsid w:val="29AA1DB7"/>
    <w:rsid w:val="29C2381E"/>
    <w:rsid w:val="2A2C6C70"/>
    <w:rsid w:val="2B0E14FC"/>
    <w:rsid w:val="2B4C581C"/>
    <w:rsid w:val="2BB4098E"/>
    <w:rsid w:val="2BFC0FF0"/>
    <w:rsid w:val="2C2440A3"/>
    <w:rsid w:val="2C932FD6"/>
    <w:rsid w:val="2C9D76B6"/>
    <w:rsid w:val="2DC23B73"/>
    <w:rsid w:val="2E5C7874"/>
    <w:rsid w:val="2ED973C6"/>
    <w:rsid w:val="2F7F6BF3"/>
    <w:rsid w:val="2FF81546"/>
    <w:rsid w:val="30550CCF"/>
    <w:rsid w:val="30FA3624"/>
    <w:rsid w:val="319D3B15"/>
    <w:rsid w:val="31C14142"/>
    <w:rsid w:val="32926BB4"/>
    <w:rsid w:val="33997663"/>
    <w:rsid w:val="34FD1935"/>
    <w:rsid w:val="3578720D"/>
    <w:rsid w:val="366E4EA6"/>
    <w:rsid w:val="371B1F99"/>
    <w:rsid w:val="37EE7818"/>
    <w:rsid w:val="38A345A1"/>
    <w:rsid w:val="38EB3928"/>
    <w:rsid w:val="38FB43DD"/>
    <w:rsid w:val="3C137C90"/>
    <w:rsid w:val="3C504A40"/>
    <w:rsid w:val="3C8D7A42"/>
    <w:rsid w:val="3D99065E"/>
    <w:rsid w:val="3DE5658D"/>
    <w:rsid w:val="3E4A327C"/>
    <w:rsid w:val="3E4D1237"/>
    <w:rsid w:val="3E4D5948"/>
    <w:rsid w:val="3FCC262F"/>
    <w:rsid w:val="401C2680"/>
    <w:rsid w:val="406F3C61"/>
    <w:rsid w:val="407468AD"/>
    <w:rsid w:val="40941FC1"/>
    <w:rsid w:val="40CF284C"/>
    <w:rsid w:val="40E57E4D"/>
    <w:rsid w:val="41566655"/>
    <w:rsid w:val="418C651A"/>
    <w:rsid w:val="430622FC"/>
    <w:rsid w:val="43877E89"/>
    <w:rsid w:val="43B9736F"/>
    <w:rsid w:val="43E12304"/>
    <w:rsid w:val="451B42BA"/>
    <w:rsid w:val="458D79A0"/>
    <w:rsid w:val="48403BBB"/>
    <w:rsid w:val="49261002"/>
    <w:rsid w:val="49B51C43"/>
    <w:rsid w:val="4A5E1AE4"/>
    <w:rsid w:val="4AC9145A"/>
    <w:rsid w:val="4B9D4996"/>
    <w:rsid w:val="4C000C42"/>
    <w:rsid w:val="4C6D6F48"/>
    <w:rsid w:val="4C96024D"/>
    <w:rsid w:val="4E0C58DD"/>
    <w:rsid w:val="4EE72FE2"/>
    <w:rsid w:val="4F195165"/>
    <w:rsid w:val="50275F04"/>
    <w:rsid w:val="50E12FE7"/>
    <w:rsid w:val="52B4214C"/>
    <w:rsid w:val="53837051"/>
    <w:rsid w:val="53AF7C8B"/>
    <w:rsid w:val="54646E83"/>
    <w:rsid w:val="55DC05B3"/>
    <w:rsid w:val="55DC6161"/>
    <w:rsid w:val="579637F7"/>
    <w:rsid w:val="57BE4AFC"/>
    <w:rsid w:val="58C7320C"/>
    <w:rsid w:val="590145FA"/>
    <w:rsid w:val="5A1966F4"/>
    <w:rsid w:val="5BD92AD9"/>
    <w:rsid w:val="5C270EC2"/>
    <w:rsid w:val="5C414CEA"/>
    <w:rsid w:val="5C702869"/>
    <w:rsid w:val="5C806824"/>
    <w:rsid w:val="5D101956"/>
    <w:rsid w:val="5DEA4EF4"/>
    <w:rsid w:val="5E394EDC"/>
    <w:rsid w:val="5E5937C0"/>
    <w:rsid w:val="5E60690D"/>
    <w:rsid w:val="5EB22EA0"/>
    <w:rsid w:val="5FDF5717"/>
    <w:rsid w:val="61215109"/>
    <w:rsid w:val="613D1F5B"/>
    <w:rsid w:val="615472BD"/>
    <w:rsid w:val="61A134C4"/>
    <w:rsid w:val="62021E91"/>
    <w:rsid w:val="6275772C"/>
    <w:rsid w:val="629923ED"/>
    <w:rsid w:val="62E371DA"/>
    <w:rsid w:val="6535464F"/>
    <w:rsid w:val="656A1E1F"/>
    <w:rsid w:val="65C14D81"/>
    <w:rsid w:val="65EC32C5"/>
    <w:rsid w:val="65FD3B21"/>
    <w:rsid w:val="6655487D"/>
    <w:rsid w:val="66B7AFE6"/>
    <w:rsid w:val="670646DE"/>
    <w:rsid w:val="67610CEF"/>
    <w:rsid w:val="679611AF"/>
    <w:rsid w:val="67A92E77"/>
    <w:rsid w:val="67F0485E"/>
    <w:rsid w:val="682D5AB2"/>
    <w:rsid w:val="68FE11FC"/>
    <w:rsid w:val="69676DA1"/>
    <w:rsid w:val="699A597D"/>
    <w:rsid w:val="6AFE0B89"/>
    <w:rsid w:val="6B0F67D1"/>
    <w:rsid w:val="6B785296"/>
    <w:rsid w:val="6BC404DB"/>
    <w:rsid w:val="6D54588F"/>
    <w:rsid w:val="6E3D6323"/>
    <w:rsid w:val="6E7D0E15"/>
    <w:rsid w:val="6E987306"/>
    <w:rsid w:val="6F712728"/>
    <w:rsid w:val="6F72024E"/>
    <w:rsid w:val="6FB61483"/>
    <w:rsid w:val="6FFC2A0A"/>
    <w:rsid w:val="70695A07"/>
    <w:rsid w:val="7177214E"/>
    <w:rsid w:val="719D227F"/>
    <w:rsid w:val="71F65166"/>
    <w:rsid w:val="733777E5"/>
    <w:rsid w:val="733B5D6D"/>
    <w:rsid w:val="743326A2"/>
    <w:rsid w:val="74985826"/>
    <w:rsid w:val="74AE1D28"/>
    <w:rsid w:val="76805946"/>
    <w:rsid w:val="770F1502"/>
    <w:rsid w:val="77A91AE1"/>
    <w:rsid w:val="77CB2BF1"/>
    <w:rsid w:val="79173721"/>
    <w:rsid w:val="79A56C22"/>
    <w:rsid w:val="79BB3192"/>
    <w:rsid w:val="79D13149"/>
    <w:rsid w:val="7A290AB6"/>
    <w:rsid w:val="7AA8721A"/>
    <w:rsid w:val="7B116306"/>
    <w:rsid w:val="7B427302"/>
    <w:rsid w:val="7B6B4E8E"/>
    <w:rsid w:val="7BE91898"/>
    <w:rsid w:val="7BF5DBF9"/>
    <w:rsid w:val="7D5C7887"/>
    <w:rsid w:val="7DBC8D85"/>
    <w:rsid w:val="7DE67D76"/>
    <w:rsid w:val="7E097FCF"/>
    <w:rsid w:val="7E0B0709"/>
    <w:rsid w:val="7EF26CB5"/>
    <w:rsid w:val="7F806779"/>
    <w:rsid w:val="7F9DA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等线" w:hAnsi="等线" w:eastAsia="等线" w:cs="宋体"/>
      <w:sz w:val="24"/>
      <w:szCs w:val="24"/>
      <w:lang w:val="zh-CN" w:eastAsia="en-US" w:bidi="ar-SA"/>
    </w:rPr>
  </w:style>
  <w:style w:type="paragraph" w:styleId="2">
    <w:name w:val="heading 2"/>
    <w:basedOn w:val="1"/>
    <w:next w:val="1"/>
    <w:link w:val="14"/>
    <w:qFormat/>
    <w:uiPriority w:val="0"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hAnsi="Arial" w:eastAsia="黑体" w:cs="Times New Roman"/>
      <w:b/>
      <w:bCs/>
      <w:kern w:val="2"/>
      <w:sz w:val="32"/>
      <w:szCs w:val="32"/>
      <w:lang w:val="en-US" w:eastAsia="zh-CN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7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99"/>
    <w:rPr>
      <w:color w:val="0563C1"/>
      <w:u w:val="single"/>
    </w:rPr>
  </w:style>
  <w:style w:type="paragraph" w:customStyle="1" w:styleId="10">
    <w:name w:val="BodyText1I"/>
    <w:basedOn w:val="11"/>
    <w:qFormat/>
    <w:uiPriority w:val="0"/>
    <w:pPr>
      <w:ind w:left="240" w:leftChars="100" w:firstLine="220" w:firstLineChars="100"/>
    </w:pPr>
    <w:rPr>
      <w:rFonts w:ascii="微软雅黑" w:hAnsi="微软雅黑" w:eastAsia="微软雅黑" w:cs="Wingdings"/>
      <w:b/>
      <w:bCs/>
      <w:color w:val="EA6000"/>
      <w:sz w:val="22"/>
      <w:lang w:eastAsia="zh-CN"/>
    </w:rPr>
  </w:style>
  <w:style w:type="paragraph" w:customStyle="1" w:styleId="11">
    <w:name w:val="BodyText"/>
    <w:basedOn w:val="1"/>
    <w:next w:val="1"/>
    <w:qFormat/>
    <w:uiPriority w:val="0"/>
    <w:pPr>
      <w:spacing w:before="36"/>
      <w:ind w:left="120"/>
      <w:jc w:val="both"/>
      <w:textAlignment w:val="baseline"/>
    </w:pPr>
    <w:rPr>
      <w:rFonts w:hAnsi="宋体"/>
      <w:kern w:val="2"/>
    </w:rPr>
  </w:style>
  <w:style w:type="character" w:customStyle="1" w:styleId="12">
    <w:name w:val="未处理的提及1"/>
    <w:basedOn w:val="8"/>
    <w:qFormat/>
    <w:uiPriority w:val="99"/>
    <w:rPr>
      <w:color w:val="605E5C"/>
      <w:shd w:val="clear" w:color="auto" w:fill="E1DFDD"/>
    </w:rPr>
  </w:style>
  <w:style w:type="paragraph" w:styleId="13">
    <w:name w:val="List Paragraph"/>
    <w:basedOn w:val="1"/>
    <w:qFormat/>
    <w:uiPriority w:val="34"/>
    <w:pPr>
      <w:widowControl w:val="0"/>
      <w:ind w:firstLine="200" w:firstLineChars="200"/>
      <w:jc w:val="both"/>
    </w:pPr>
    <w:rPr>
      <w:rFonts w:ascii="幼圆" w:hAnsi="宋体" w:eastAsia="幼圆"/>
      <w:kern w:val="2"/>
      <w:sz w:val="21"/>
      <w:szCs w:val="22"/>
      <w:lang w:val="en-US" w:eastAsia="zh-CN"/>
    </w:rPr>
  </w:style>
  <w:style w:type="character" w:customStyle="1" w:styleId="14">
    <w:name w:val="标题 2 字符"/>
    <w:basedOn w:val="8"/>
    <w:link w:val="2"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15">
    <w:name w:val="页眉 字符"/>
    <w:basedOn w:val="8"/>
    <w:link w:val="5"/>
    <w:qFormat/>
    <w:uiPriority w:val="99"/>
    <w:rPr>
      <w:kern w:val="0"/>
      <w:sz w:val="18"/>
      <w:szCs w:val="18"/>
      <w:lang w:val="zh-CN" w:eastAsia="en-US"/>
    </w:rPr>
  </w:style>
  <w:style w:type="character" w:customStyle="1" w:styleId="16">
    <w:name w:val="页脚 字符"/>
    <w:basedOn w:val="8"/>
    <w:link w:val="4"/>
    <w:qFormat/>
    <w:uiPriority w:val="99"/>
    <w:rPr>
      <w:kern w:val="0"/>
      <w:sz w:val="18"/>
      <w:szCs w:val="18"/>
      <w:lang w:val="zh-CN" w:eastAsia="en-US"/>
    </w:rPr>
  </w:style>
  <w:style w:type="character" w:customStyle="1" w:styleId="17">
    <w:name w:val="批注框文本 字符"/>
    <w:basedOn w:val="8"/>
    <w:link w:val="3"/>
    <w:qFormat/>
    <w:uiPriority w:val="0"/>
    <w:rPr>
      <w:sz w:val="18"/>
      <w:szCs w:val="18"/>
      <w:lang w:val="zh-CN"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2875</Words>
  <Characters>3192</Characters>
  <Lines>26</Lines>
  <Paragraphs>7</Paragraphs>
  <TotalTime>14</TotalTime>
  <ScaleCrop>false</ScaleCrop>
  <LinksUpToDate>false</LinksUpToDate>
  <CharactersWithSpaces>3209</CharactersWithSpaces>
  <Application>WPS Office_11.1.0.14178_F1E327BC-269C-435d-A152-05C5408002CA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2024-05-28T06:46:00Z</dcterms:created>
  <dc:creator>Xing Yanan</dc:creator>
  <cp:lastModifiedBy>贺晓虎</cp:lastModifiedBy>
  <cp:lastPrinted>2024-05-27T06:56:00Z</cp:lastPrinted>
  <dcterms:modified xsi:type="dcterms:W3CDTF">2024-05-29T02:00:38Z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606006E9E8CC45D98993ADD2B9670737_13</vt:lpwstr>
  </property>
  <property fmtid="{D5CDD505-2E9C-101B-9397-08002B2CF9AE}" pid="3" name="KSOProductBuildVer">
    <vt:lpwstr>2052-11.1.0.14178</vt:lpwstr>
  </property>
</Properties>
</file>